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420"/>
        <w:gridCol w:w="6081"/>
      </w:tblGrid>
      <w:tr w:rsidR="00581EAB" w:rsidRPr="003959F9" w14:paraId="21057B9A" w14:textId="77777777" w:rsidTr="0035576E">
        <w:tc>
          <w:tcPr>
            <w:tcW w:w="3464" w:type="dxa"/>
            <w:vAlign w:val="center"/>
          </w:tcPr>
          <w:p w14:paraId="3A4DF95A" w14:textId="77777777" w:rsidR="00581EAB" w:rsidRPr="003959F9" w:rsidRDefault="0035576E" w:rsidP="00882D56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noProof/>
                <w:sz w:val="22"/>
                <w:szCs w:val="22"/>
                <w:lang w:val="en-GB" w:eastAsia="ru-RU"/>
              </w:rPr>
              <w:drawing>
                <wp:inline distT="0" distB="0" distL="0" distR="0" wp14:anchorId="34666CBC" wp14:editId="70690E24">
                  <wp:extent cx="1619250" cy="64369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en_EHR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002" cy="65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16253214" w14:textId="77777777" w:rsidR="00E52B62" w:rsidRPr="003959F9" w:rsidRDefault="00E52B62" w:rsidP="00E52B6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  <w:p w14:paraId="5C9028EA" w14:textId="32C04BB5" w:rsidR="00E52B62" w:rsidRPr="003959F9" w:rsidRDefault="00581EAB" w:rsidP="00CF3880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Job Description:</w:t>
            </w:r>
          </w:p>
          <w:p w14:paraId="78C3D820" w14:textId="61857FF8" w:rsidR="00581EAB" w:rsidRPr="003959F9" w:rsidRDefault="00024949" w:rsidP="00CF3880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SENIOR </w:t>
            </w:r>
            <w:r w:rsidR="00CE2A6C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PROGRAM</w:t>
            </w:r>
            <w:r w:rsidR="00280538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 </w:t>
            </w:r>
            <w:r w:rsidR="00D0478A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OFFICER</w:t>
            </w:r>
          </w:p>
          <w:p w14:paraId="0C47293B" w14:textId="72820E2C" w:rsidR="00BF71BE" w:rsidRPr="003959F9" w:rsidRDefault="00036B9D" w:rsidP="00CF388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12</w:t>
            </w:r>
            <w:r w:rsidR="00B01785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 </w:t>
            </w:r>
            <w:r w:rsidR="000846C1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October</w:t>
            </w:r>
            <w:r w:rsidR="00B01581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 </w:t>
            </w:r>
            <w:r w:rsidR="00B01785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20</w:t>
            </w:r>
            <w:r w:rsidR="000846C1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21</w:t>
            </w:r>
          </w:p>
        </w:tc>
      </w:tr>
    </w:tbl>
    <w:p w14:paraId="6A637B24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421"/>
      </w:tblGrid>
      <w:tr w:rsidR="00581EAB" w:rsidRPr="003959F9" w14:paraId="4542711E" w14:textId="77777777" w:rsidTr="00521BCE">
        <w:tc>
          <w:tcPr>
            <w:tcW w:w="2080" w:type="dxa"/>
          </w:tcPr>
          <w:p w14:paraId="0577F6C3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REPORTS TO</w:t>
            </w:r>
          </w:p>
          <w:p w14:paraId="664252C8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7421" w:type="dxa"/>
          </w:tcPr>
          <w:p w14:paraId="196EA87D" w14:textId="2C060266" w:rsidR="00581EAB" w:rsidRPr="003959F9" w:rsidRDefault="00B01785" w:rsidP="00882D56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Program Team Lea</w:t>
            </w:r>
            <w:r w:rsidR="00D0478A" w:rsidRPr="003959F9">
              <w:rPr>
                <w:rFonts w:ascii="Century Gothic" w:hAnsi="Century Gothic"/>
                <w:sz w:val="22"/>
                <w:szCs w:val="22"/>
                <w:lang w:val="en-GB"/>
              </w:rPr>
              <w:t>d</w:t>
            </w:r>
          </w:p>
        </w:tc>
      </w:tr>
      <w:tr w:rsidR="00581EAB" w:rsidRPr="003959F9" w14:paraId="129A4886" w14:textId="77777777" w:rsidTr="00521BCE">
        <w:tc>
          <w:tcPr>
            <w:tcW w:w="2080" w:type="dxa"/>
          </w:tcPr>
          <w:p w14:paraId="00EBEB9D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SUBSTITUTES</w:t>
            </w:r>
          </w:p>
        </w:tc>
        <w:tc>
          <w:tcPr>
            <w:tcW w:w="7421" w:type="dxa"/>
          </w:tcPr>
          <w:p w14:paraId="75BA995C" w14:textId="681F869A" w:rsidR="00581EAB" w:rsidRPr="003959F9" w:rsidRDefault="00E35BB2" w:rsidP="00882D56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Program Team Lead </w:t>
            </w:r>
          </w:p>
        </w:tc>
      </w:tr>
      <w:tr w:rsidR="00581EAB" w:rsidRPr="003959F9" w14:paraId="54695C12" w14:textId="77777777" w:rsidTr="00521BCE">
        <w:tc>
          <w:tcPr>
            <w:tcW w:w="2080" w:type="dxa"/>
          </w:tcPr>
          <w:p w14:paraId="43DD037D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EMPLOYMENT</w:t>
            </w:r>
          </w:p>
        </w:tc>
        <w:tc>
          <w:tcPr>
            <w:tcW w:w="7421" w:type="dxa"/>
          </w:tcPr>
          <w:p w14:paraId="10DB9ED7" w14:textId="3621672D" w:rsidR="00581EAB" w:rsidRPr="003959F9" w:rsidRDefault="0091349C" w:rsidP="00D0478A">
            <w:pPr>
              <w:jc w:val="both"/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Senior </w:t>
            </w:r>
            <w:r w:rsidR="002B234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Program</w:t>
            </w:r>
            <w:r w:rsidR="00882D56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D0478A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Officer</w:t>
            </w:r>
            <w:r w:rsidR="00280538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581EAB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is appointed and dismissed by </w:t>
            </w:r>
            <w:r w:rsidR="002B23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Executive Director</w:t>
            </w:r>
            <w:r w:rsidR="00581EAB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.</w:t>
            </w:r>
          </w:p>
        </w:tc>
      </w:tr>
    </w:tbl>
    <w:p w14:paraId="68FE00B1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581EAB" w:rsidRPr="003959F9" w14:paraId="4B8317E6" w14:textId="77777777" w:rsidTr="000121DB">
        <w:tc>
          <w:tcPr>
            <w:tcW w:w="9535" w:type="dxa"/>
            <w:shd w:val="clear" w:color="auto" w:fill="BFBFBF" w:themeFill="background1" w:themeFillShade="BF"/>
          </w:tcPr>
          <w:p w14:paraId="736D848D" w14:textId="201DDBE7" w:rsidR="00581EAB" w:rsidRPr="003959F9" w:rsidRDefault="00505068" w:rsidP="005A20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OVERALL RESPONSIBILITY</w:t>
            </w:r>
          </w:p>
        </w:tc>
      </w:tr>
      <w:tr w:rsidR="00581EAB" w:rsidRPr="003959F9" w14:paraId="6EEF1577" w14:textId="77777777" w:rsidTr="000121DB">
        <w:trPr>
          <w:trHeight w:val="827"/>
        </w:trPr>
        <w:tc>
          <w:tcPr>
            <w:tcW w:w="9535" w:type="dxa"/>
          </w:tcPr>
          <w:p w14:paraId="3C4DF39E" w14:textId="248AD0C9" w:rsidR="00D216DE" w:rsidRPr="003959F9" w:rsidRDefault="000C1EA7" w:rsidP="00D216DE">
            <w:pPr>
              <w:pStyle w:val="ListParagraph"/>
              <w:numPr>
                <w:ilvl w:val="1"/>
                <w:numId w:val="20"/>
              </w:numPr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The Senior Program Officer has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 </w:t>
            </w: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set of responsibilities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which </w:t>
            </w: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is divided into two groups: </w:t>
            </w:r>
            <w:r w:rsidR="000F67E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p</w:t>
            </w:r>
            <w:r w:rsidR="009E2282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rogram</w:t>
            </w:r>
            <w:r w:rsidR="000846C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/project</w:t>
            </w:r>
            <w:r w:rsidR="009E2282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0F67E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m</w:t>
            </w:r>
            <w:r w:rsidR="009E2282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anagement and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the </w:t>
            </w:r>
            <w:r w:rsidR="007B49D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implementation</w:t>
            </w:r>
            <w:r w:rsidR="000F67E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9E2282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of </w:t>
            </w:r>
            <w:r w:rsidR="000846C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regional advocacy activities</w:t>
            </w:r>
            <w:r w:rsidR="00D216DE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. </w:t>
            </w:r>
          </w:p>
          <w:p w14:paraId="3B921CB5" w14:textId="2EA501A4" w:rsidR="00581EAB" w:rsidRPr="003959F9" w:rsidRDefault="00D216DE" w:rsidP="00D216DE">
            <w:pPr>
              <w:pStyle w:val="ListParagraph"/>
              <w:numPr>
                <w:ilvl w:val="1"/>
                <w:numId w:val="20"/>
              </w:numPr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In </w:t>
            </w:r>
            <w:r w:rsidR="000F67E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p</w:t>
            </w: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rogram </w:t>
            </w:r>
            <w:r w:rsidR="000F67E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m</w:t>
            </w: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anagement </w:t>
            </w:r>
            <w:r w:rsidR="008D7CAA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the Senior Program Officer</w:t>
            </w:r>
            <w:r w:rsidR="003A4C69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,</w:t>
            </w:r>
            <w:r w:rsidR="008D7CAA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3A4C69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with the support and supervision of the Program Team Lead, </w:t>
            </w:r>
            <w:r w:rsidR="008D7CAA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is responsible for manag</w:t>
            </w:r>
            <w:r w:rsidR="003A4C69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ing</w:t>
            </w:r>
            <w:r w:rsidR="008D7CAA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of assigned program components and projects</w:t>
            </w:r>
            <w:r w:rsidR="003A4C69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.</w:t>
            </w:r>
            <w:r w:rsidR="008D7CAA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F17964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E0151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This includes project management, supervision of subordinates (if any), daily management of </w:t>
            </w:r>
            <w:r w:rsidR="003A4C69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EHRA’s </w:t>
            </w:r>
            <w:r w:rsidR="00CB5DE7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sub-grantees, consultants</w:t>
            </w:r>
            <w:r w:rsidR="00E0151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, </w:t>
            </w:r>
            <w:r w:rsidR="00D10C34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evaluation of </w:t>
            </w:r>
            <w:r w:rsidR="00A25B64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assigned program components, </w:t>
            </w:r>
            <w:r w:rsidR="003A4C69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oversight of </w:t>
            </w:r>
            <w:r w:rsidR="00E0151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budgets, development of relevant knowledge</w:t>
            </w:r>
            <w:r w:rsidR="00A25B64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and </w:t>
            </w:r>
            <w:r w:rsidR="00E0151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participation in fundraising.</w:t>
            </w:r>
          </w:p>
          <w:p w14:paraId="78444A9B" w14:textId="50D4A1E4" w:rsidR="00E60DB6" w:rsidRPr="003959F9" w:rsidRDefault="00E60DB6" w:rsidP="00FA0351">
            <w:pPr>
              <w:pStyle w:val="ListParagraph"/>
              <w:numPr>
                <w:ilvl w:val="1"/>
                <w:numId w:val="20"/>
              </w:numPr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In develop</w:t>
            </w:r>
            <w:r w:rsidR="00832658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ing</w:t>
            </w:r>
            <w:r w:rsidR="007B49D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and implement</w:t>
            </w:r>
            <w:r w:rsidR="00832658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ing</w:t>
            </w: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97276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regional </w:t>
            </w:r>
            <w:r w:rsidR="006D4945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advocacy </w:t>
            </w:r>
            <w:r w:rsidR="0097276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activities</w:t>
            </w:r>
            <w:r w:rsidR="007B49D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Senior Program Officer</w:t>
            </w:r>
            <w:r w:rsidR="006A02CB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43160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develop</w:t>
            </w:r>
            <w:r w:rsidR="007B49D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s</w:t>
            </w:r>
            <w:r w:rsidR="0043160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and </w:t>
            </w:r>
            <w:r w:rsidR="006A02CB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supervise</w:t>
            </w:r>
            <w:r w:rsidR="007B49D0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s</w:t>
            </w:r>
            <w:r w:rsidR="006A02CB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97276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activities on regional and national level </w:t>
            </w:r>
            <w:r w:rsidR="0043160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and work</w:t>
            </w:r>
            <w:r w:rsidR="00832658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s</w:t>
            </w:r>
            <w:r w:rsidR="0043160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with </w:t>
            </w:r>
            <w:r w:rsidR="0093054D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Program T</w:t>
            </w:r>
            <w:r w:rsidR="0043160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eam members to </w:t>
            </w:r>
            <w:r w:rsidR="00832658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provide </w:t>
            </w:r>
            <w:r w:rsidR="00F7460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scientific bases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and</w:t>
            </w:r>
            <w:r w:rsidR="001F376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creative approach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in</w:t>
            </w:r>
            <w:r w:rsidR="001F376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capacity building to EHRA members to ensure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effective </w:t>
            </w:r>
            <w:r w:rsidR="001F3761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advocacy for sustainable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provision of </w:t>
            </w:r>
            <w:r w:rsidR="00E45EC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harm reduction</w:t>
            </w:r>
            <w:r w:rsidR="0097276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service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s</w:t>
            </w:r>
            <w:r w:rsidR="00E45EC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,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for protection of </w:t>
            </w:r>
            <w:r w:rsidR="00E45EC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human rights</w:t>
            </w:r>
            <w:r w:rsidR="0097276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E45EC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and 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humane </w:t>
            </w:r>
            <w:r w:rsidR="00E45EC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drug policy</w:t>
            </w:r>
            <w:r w:rsidR="000115DF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, according to </w:t>
            </w:r>
            <w:r w:rsidR="0097276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organizational </w:t>
            </w:r>
            <w:hyperlink r:id="rId9" w:history="1">
              <w:r w:rsidR="0097276C" w:rsidRPr="003959F9">
                <w:rPr>
                  <w:rStyle w:val="Hyperlink"/>
                  <w:rFonts w:ascii="Century Gothic" w:hAnsi="Century Gothic" w:cs="Times New Roman CYR"/>
                  <w:sz w:val="22"/>
                  <w:szCs w:val="22"/>
                  <w:lang w:val="en-GB"/>
                </w:rPr>
                <w:t>strategy</w:t>
              </w:r>
            </w:hyperlink>
            <w:r w:rsidR="0097276C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.</w:t>
            </w:r>
          </w:p>
        </w:tc>
      </w:tr>
      <w:tr w:rsidR="00E24DD4" w:rsidRPr="003959F9" w14:paraId="5D74D192" w14:textId="77777777" w:rsidTr="000121DB">
        <w:tc>
          <w:tcPr>
            <w:tcW w:w="9535" w:type="dxa"/>
            <w:shd w:val="clear" w:color="auto" w:fill="BFBFBF" w:themeFill="background1" w:themeFillShade="BF"/>
          </w:tcPr>
          <w:p w14:paraId="154A463A" w14:textId="56654BA3" w:rsidR="00E24DD4" w:rsidRPr="003959F9" w:rsidRDefault="00884C4E" w:rsidP="005A20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PROGRAM MANAGEMENT</w:t>
            </w:r>
          </w:p>
        </w:tc>
      </w:tr>
      <w:tr w:rsidR="00581EAB" w:rsidRPr="003959F9" w14:paraId="04B6BEB2" w14:textId="77777777" w:rsidTr="000121DB">
        <w:trPr>
          <w:trHeight w:val="1241"/>
        </w:trPr>
        <w:tc>
          <w:tcPr>
            <w:tcW w:w="9535" w:type="dxa"/>
          </w:tcPr>
          <w:p w14:paraId="66B7230A" w14:textId="5EF5DDEA" w:rsidR="00E35EF9" w:rsidRPr="003959F9" w:rsidRDefault="006B6721" w:rsidP="00E35EF9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Coordinate assigned program components and projects </w:t>
            </w:r>
            <w:r w:rsidR="00113A4B" w:rsidRPr="003959F9">
              <w:rPr>
                <w:rFonts w:ascii="Century Gothic" w:hAnsi="Century Gothic"/>
                <w:sz w:val="22"/>
                <w:szCs w:val="22"/>
                <w:lang w:val="en-GB"/>
              </w:rPr>
              <w:t>with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support and</w:t>
            </w:r>
            <w:r w:rsidR="00113A4B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under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supervision of the Program Team Lead including monitoring of project performance, timeline</w:t>
            </w:r>
            <w:r w:rsidR="003A4C69" w:rsidRPr="003959F9">
              <w:rPr>
                <w:rFonts w:ascii="Century Gothic" w:hAnsi="Century Gothic"/>
                <w:sz w:val="22"/>
                <w:szCs w:val="22"/>
                <w:lang w:val="en-GB"/>
              </w:rPr>
              <w:t>s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budgets; </w:t>
            </w:r>
            <w:r w:rsidR="009F608A" w:rsidRPr="003959F9">
              <w:rPr>
                <w:rFonts w:ascii="Century Gothic" w:hAnsi="Century Gothic"/>
                <w:sz w:val="22"/>
                <w:szCs w:val="22"/>
                <w:lang w:val="en-GB"/>
              </w:rPr>
              <w:t>develop relevant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progress and final reports.</w:t>
            </w:r>
          </w:p>
          <w:p w14:paraId="67187061" w14:textId="34EF2AE6" w:rsidR="00E35EF9" w:rsidRPr="003959F9" w:rsidRDefault="003A4C69" w:rsidP="0006621D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Participate</w:t>
            </w:r>
            <w:r w:rsidR="004E0F9A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in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organizational </w:t>
            </w:r>
            <w:r w:rsidR="004E0F9A" w:rsidRPr="003959F9">
              <w:rPr>
                <w:rFonts w:ascii="Century Gothic" w:hAnsi="Century Gothic"/>
                <w:sz w:val="22"/>
                <w:szCs w:val="22"/>
                <w:lang w:val="en-GB"/>
              </w:rPr>
              <w:t>fundraising and development of EHRA</w:t>
            </w:r>
            <w:r w:rsidR="00BC54DA">
              <w:rPr>
                <w:rFonts w:ascii="Century Gothic" w:hAnsi="Century Gothic"/>
                <w:sz w:val="22"/>
                <w:szCs w:val="22"/>
                <w:lang w:val="en-GB"/>
              </w:rPr>
              <w:t xml:space="preserve">’s </w:t>
            </w:r>
            <w:r w:rsidR="004E0F9A" w:rsidRPr="003959F9">
              <w:rPr>
                <w:rFonts w:ascii="Century Gothic" w:hAnsi="Century Gothic"/>
                <w:sz w:val="22"/>
                <w:szCs w:val="22"/>
                <w:lang w:val="en-GB"/>
              </w:rPr>
              <w:t>projects, including contributi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>ng</w:t>
            </w:r>
            <w:r w:rsidR="004E0F9A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to project proposal narratives and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providing </w:t>
            </w:r>
            <w:r w:rsidR="004E0F9A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administrative support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for the </w:t>
            </w:r>
            <w:r w:rsidR="004E0F9A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submission of funding proposals to donors. </w:t>
            </w:r>
          </w:p>
          <w:p w14:paraId="01871002" w14:textId="45342BD0" w:rsidR="00E34D7F" w:rsidRPr="003959F9" w:rsidRDefault="00884C4E" w:rsidP="0051059E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Draft, systematize and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complete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project documentation (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e.g.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project descriptions, project accomplishments, event reports, publication summaries, presentations etc.)</w:t>
            </w:r>
          </w:p>
          <w:p w14:paraId="720AE8E1" w14:textId="7455B504" w:rsidR="0006621D" w:rsidRPr="003959F9" w:rsidRDefault="00884C4E" w:rsidP="0006621D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Organize and coordinate project events (e.g. workshops, trainings, publications, </w:t>
            </w:r>
            <w:r w:rsidR="00E52B62" w:rsidRPr="003959F9">
              <w:rPr>
                <w:rFonts w:ascii="Century Gothic" w:hAnsi="Century Gothic"/>
                <w:sz w:val="22"/>
                <w:szCs w:val="22"/>
                <w:lang w:val="en-GB"/>
              </w:rPr>
              <w:t>w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ebinars, etc.)</w:t>
            </w:r>
            <w:r w:rsidR="00F44D0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under the Program Team Lead / Manager guidance and </w:t>
            </w:r>
            <w:r w:rsidR="00F44D0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with support from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the </w:t>
            </w:r>
            <w:r w:rsidR="000A6E3B" w:rsidRPr="003959F9">
              <w:rPr>
                <w:rFonts w:ascii="Century Gothic" w:hAnsi="Century Gothic"/>
                <w:sz w:val="22"/>
                <w:szCs w:val="22"/>
                <w:lang w:val="en-GB"/>
              </w:rPr>
              <w:t>Finance</w:t>
            </w:r>
            <w:r w:rsidR="00F44D0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administration team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1555E326" w14:textId="0BBC77C0" w:rsidR="0051059E" w:rsidRPr="003959F9" w:rsidRDefault="00884C4E" w:rsidP="0006621D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Coordinate </w:t>
            </w:r>
            <w:r w:rsidR="0051059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work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of national implementing partners /sub-grantees within assigned projects </w:t>
            </w:r>
            <w:r w:rsidR="0051059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and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set up a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regular communication with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them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. This work includes</w:t>
            </w:r>
            <w:r w:rsidR="0051059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832658" w:rsidRPr="003959F9">
              <w:rPr>
                <w:rFonts w:ascii="Century Gothic" w:hAnsi="Century Gothic"/>
                <w:sz w:val="22"/>
                <w:szCs w:val="22"/>
                <w:lang w:val="en-GB"/>
              </w:rPr>
              <w:t>organizing of</w:t>
            </w:r>
            <w:r w:rsidR="0051059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sub-grantees </w:t>
            </w:r>
            <w:r w:rsidR="00453350" w:rsidRPr="003959F9">
              <w:rPr>
                <w:rFonts w:ascii="Century Gothic" w:hAnsi="Century Gothic"/>
                <w:sz w:val="22"/>
                <w:szCs w:val="22"/>
                <w:lang w:val="en-GB"/>
              </w:rPr>
              <w:t>selection</w:t>
            </w:r>
            <w:r w:rsidR="0051059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process,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supervising implementation  process </w:t>
            </w:r>
            <w:r w:rsidR="00453350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and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sub-grantees </w:t>
            </w:r>
            <w:r w:rsidR="00453350" w:rsidRPr="003959F9">
              <w:rPr>
                <w:rFonts w:ascii="Century Gothic" w:hAnsi="Century Gothic"/>
                <w:sz w:val="22"/>
                <w:szCs w:val="22"/>
                <w:lang w:val="en-GB"/>
              </w:rPr>
              <w:t>reporting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, other tasks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44938EB7" w14:textId="0DF6787E" w:rsidR="00805ED6" w:rsidRPr="003959F9" w:rsidRDefault="00884C4E" w:rsidP="0006621D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Coordinate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working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relations with external 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>c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onsultants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contractors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(</w:t>
            </w:r>
            <w:r w:rsidR="003A57BE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e.g.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writers, translators, reviewers, editors, etc.), 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ensuring that activities are according to the timeline and planed deliverables. This work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includ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es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drafting ToR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s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, organiz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ing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tenders, drafting</w:t>
            </w:r>
            <w:r w:rsidR="00805ED6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contracts, and other tasks.</w:t>
            </w:r>
          </w:p>
          <w:p w14:paraId="461091D0" w14:textId="0851DAF9" w:rsidR="008B15C6" w:rsidRPr="000121DB" w:rsidRDefault="00884C4E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Ensure 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that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projects news 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and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other relevant information is posted via EHRA communication channels (e.g. webpage, FB, Twitter, email lists</w:t>
            </w:r>
            <w:r w:rsidR="001851B1" w:rsidRPr="003959F9">
              <w:rPr>
                <w:rFonts w:ascii="Century Gothic" w:hAnsi="Century Gothic"/>
                <w:sz w:val="22"/>
                <w:szCs w:val="22"/>
                <w:lang w:val="en-GB"/>
              </w:rPr>
              <w:t>)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;</w:t>
            </w:r>
          </w:p>
        </w:tc>
      </w:tr>
      <w:tr w:rsidR="006A15EE" w:rsidRPr="003959F9" w14:paraId="161EBC63" w14:textId="77777777" w:rsidTr="000121DB">
        <w:trPr>
          <w:trHeight w:val="251"/>
        </w:trPr>
        <w:tc>
          <w:tcPr>
            <w:tcW w:w="9535" w:type="dxa"/>
            <w:shd w:val="clear" w:color="auto" w:fill="BFBFBF" w:themeFill="background1" w:themeFillShade="BF"/>
          </w:tcPr>
          <w:p w14:paraId="1DB7254D" w14:textId="30C155DA" w:rsidR="006A15EE" w:rsidRPr="003959F9" w:rsidRDefault="00F57F3B" w:rsidP="00F57F3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REGIONAL ADVOCACY</w:t>
            </w:r>
          </w:p>
        </w:tc>
      </w:tr>
      <w:tr w:rsidR="00BD15B5" w:rsidRPr="003959F9" w14:paraId="351108CD" w14:textId="77777777" w:rsidTr="000121DB">
        <w:tc>
          <w:tcPr>
            <w:tcW w:w="9535" w:type="dxa"/>
          </w:tcPr>
          <w:p w14:paraId="7FA845D1" w14:textId="6B064F6A" w:rsidR="00411A1A" w:rsidRPr="003959F9" w:rsidRDefault="00DE3AB4" w:rsidP="00113A4B">
            <w:pPr>
              <w:pStyle w:val="ListParagraph"/>
              <w:numPr>
                <w:ilvl w:val="1"/>
                <w:numId w:val="36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lastRenderedPageBreak/>
              <w:t xml:space="preserve">Provide expertise and support to the </w:t>
            </w:r>
            <w:r w:rsidR="002B0074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Senior Management Team 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including determination of the projects goals, advocacy methods, approaches, and tools </w:t>
            </w:r>
            <w:r w:rsidR="00CA7258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 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developing </w:t>
            </w:r>
            <w:r w:rsidR="005A33AB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regional advocacy </w:t>
            </w:r>
            <w:r w:rsidR="00D93DE6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projects 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on</w:t>
            </w:r>
            <w:r w:rsidR="00411A1A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5A33AB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quality of harm reduction, </w:t>
            </w:r>
            <w:r w:rsidR="00411A1A" w:rsidRPr="003959F9">
              <w:rPr>
                <w:rFonts w:ascii="Century Gothic" w:hAnsi="Century Gothic"/>
                <w:sz w:val="22"/>
                <w:szCs w:val="22"/>
                <w:lang w:val="en-GB"/>
              </w:rPr>
              <w:t>drug policy and protection of human rights.</w:t>
            </w:r>
          </w:p>
          <w:p w14:paraId="190FA661" w14:textId="6C2190C3" w:rsidR="00CA04D0" w:rsidRPr="003959F9" w:rsidRDefault="000C6E40" w:rsidP="00CA04D0">
            <w:pPr>
              <w:pStyle w:val="ListParagraph"/>
              <w:numPr>
                <w:ilvl w:val="1"/>
                <w:numId w:val="36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Organize provision of technical support and capacity building to national partners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,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members of EHRA on the advocacy approaches and tools</w:t>
            </w:r>
            <w:r w:rsidR="0059738C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086E9715" w14:textId="5A6009EF" w:rsidR="00CA04D0" w:rsidRPr="003959F9" w:rsidRDefault="00541541" w:rsidP="00CA04D0">
            <w:pPr>
              <w:pStyle w:val="ListParagraph"/>
              <w:numPr>
                <w:ilvl w:val="1"/>
                <w:numId w:val="36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Provide expert input in developing </w:t>
            </w:r>
            <w:r w:rsidR="00CA04D0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policy </w:t>
            </w:r>
            <w:r w:rsidR="000C6E40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briefs, </w:t>
            </w:r>
            <w:r w:rsidR="00CA04D0" w:rsidRPr="003959F9">
              <w:rPr>
                <w:rFonts w:ascii="Century Gothic" w:hAnsi="Century Gothic"/>
                <w:sz w:val="22"/>
                <w:szCs w:val="22"/>
                <w:lang w:val="en-GB"/>
              </w:rPr>
              <w:t>recommendations</w:t>
            </w:r>
            <w:r w:rsidR="000C6E40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, position papers and other </w:t>
            </w:r>
            <w:r w:rsidR="00B96CDF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regional advocacy documents based on the EHRA strategy,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 </w:t>
            </w:r>
            <w:r w:rsidR="00B96CDF" w:rsidRPr="003959F9">
              <w:rPr>
                <w:rFonts w:ascii="Century Gothic" w:hAnsi="Century Gothic"/>
                <w:sz w:val="22"/>
                <w:szCs w:val="22"/>
                <w:lang w:val="en-GB"/>
              </w:rPr>
              <w:t>consultation with experts, and partners</w:t>
            </w:r>
            <w:r w:rsidR="0059738C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35F3D185" w14:textId="0EA246DD" w:rsidR="00CA04D0" w:rsidRPr="003959F9" w:rsidRDefault="00CA04D0" w:rsidP="00CA04D0">
            <w:pPr>
              <w:pStyle w:val="ListParagraph"/>
              <w:numPr>
                <w:ilvl w:val="1"/>
                <w:numId w:val="36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Provid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>e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541541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expert input </w:t>
            </w:r>
            <w:r w:rsidR="00304ADC" w:rsidRPr="003959F9">
              <w:rPr>
                <w:rFonts w:ascii="Century Gothic" w:hAnsi="Century Gothic"/>
                <w:sz w:val="22"/>
                <w:szCs w:val="22"/>
                <w:lang w:val="en-GB"/>
              </w:rPr>
              <w:t>in setting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advocacy priorities and linking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advocacy and policy reform objectives with </w:t>
            </w:r>
            <w:r w:rsidR="00302C72">
              <w:rPr>
                <w:rFonts w:ascii="Century Gothic" w:hAnsi="Century Gothic"/>
                <w:sz w:val="22"/>
                <w:szCs w:val="22"/>
                <w:lang w:val="en-GB"/>
              </w:rPr>
              <w:t>scientific evidence</w:t>
            </w:r>
            <w:r w:rsidR="00605C77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on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3C41AA" w:rsidRPr="003959F9">
              <w:rPr>
                <w:rFonts w:ascii="Century Gothic" w:hAnsi="Century Gothic"/>
                <w:sz w:val="22"/>
                <w:szCs w:val="22"/>
                <w:lang w:val="en-GB"/>
              </w:rPr>
              <w:t>quality of harm reduction services</w:t>
            </w:r>
            <w:r w:rsidR="0059738C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755A432D" w14:textId="79495FCB" w:rsidR="006F4992" w:rsidRPr="003959F9" w:rsidRDefault="006F4992" w:rsidP="006F4992">
            <w:pPr>
              <w:pStyle w:val="ListParagraph"/>
              <w:numPr>
                <w:ilvl w:val="1"/>
                <w:numId w:val="36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Support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the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Executive Director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and relevant program staff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 advocacy and policy work on the </w:t>
            </w:r>
            <w:r w:rsidR="00E34D7F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regional and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global level (</w:t>
            </w:r>
            <w:r w:rsidR="008759AF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WHO, UNODC,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the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UN General Assembly Special Session on World Drug Problem,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the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UN Commission on Narcotic Drugs,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the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UNAIDS Program Committee Board,</w:t>
            </w:r>
            <w:r w:rsidR="000505CD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E34D7F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international human rights mechanisms, </w:t>
            </w:r>
            <w:r w:rsidR="000505CD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harm reduction consortium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etc.</w:t>
            </w:r>
            <w:r w:rsidR="00E34D7F" w:rsidRPr="003959F9">
              <w:rPr>
                <w:rFonts w:ascii="Century Gothic" w:hAnsi="Century Gothic"/>
                <w:sz w:val="22"/>
                <w:szCs w:val="22"/>
                <w:lang w:val="en-GB"/>
              </w:rPr>
              <w:t>)</w:t>
            </w:r>
            <w:r w:rsidR="0059738C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7BB82F46" w14:textId="32C0C3B9" w:rsidR="0059738C" w:rsidRPr="003959F9" w:rsidRDefault="0059738C" w:rsidP="006F4992">
            <w:pPr>
              <w:pStyle w:val="ListParagraph"/>
              <w:numPr>
                <w:ilvl w:val="1"/>
                <w:numId w:val="36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Organi</w:t>
            </w:r>
            <w:r w:rsidR="003959F9">
              <w:rPr>
                <w:rFonts w:ascii="Century Gothic" w:hAnsi="Century Gothic"/>
                <w:sz w:val="22"/>
                <w:szCs w:val="22"/>
                <w:lang w:val="en-GB"/>
              </w:rPr>
              <w:t>se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knowledge management within EHRA membership and the </w:t>
            </w:r>
            <w:r w:rsidR="003959F9">
              <w:rPr>
                <w:rFonts w:ascii="Century Gothic" w:hAnsi="Century Gothic"/>
                <w:sz w:val="22"/>
                <w:szCs w:val="22"/>
                <w:lang w:val="en-GB"/>
              </w:rPr>
              <w:t>Secretariat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on assigned topics.</w:t>
            </w:r>
          </w:p>
          <w:p w14:paraId="4B91D7CF" w14:textId="1759137E" w:rsidR="00755279" w:rsidRPr="00302C72" w:rsidRDefault="00CA04D0" w:rsidP="00302C72">
            <w:pPr>
              <w:pStyle w:val="ListParagraph"/>
              <w:numPr>
                <w:ilvl w:val="1"/>
                <w:numId w:val="36"/>
              </w:num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Monitor the imp</w:t>
            </w:r>
            <w:r w:rsidR="006F4992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act of </w:t>
            </w:r>
            <w:r w:rsid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EHRA </w:t>
            </w:r>
            <w:r w:rsidR="006F4992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advocacy on national, </w:t>
            </w:r>
            <w:r w:rsidR="008363D6" w:rsidRPr="003959F9">
              <w:rPr>
                <w:rFonts w:ascii="Century Gothic" w:hAnsi="Century Gothic"/>
                <w:sz w:val="22"/>
                <w:szCs w:val="22"/>
                <w:lang w:val="en-GB"/>
              </w:rPr>
              <w:t>regional,</w:t>
            </w:r>
            <w:r w:rsidR="006F4992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global level</w:t>
            </w:r>
            <w:r w:rsidR="0059738C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</w:tc>
      </w:tr>
      <w:tr w:rsidR="00BD15B5" w:rsidRPr="003959F9" w14:paraId="2DF180D1" w14:textId="77777777" w:rsidTr="000121DB">
        <w:tc>
          <w:tcPr>
            <w:tcW w:w="9535" w:type="dxa"/>
            <w:shd w:val="clear" w:color="auto" w:fill="BFBFBF" w:themeFill="background1" w:themeFillShade="BF"/>
          </w:tcPr>
          <w:p w14:paraId="71BE55E1" w14:textId="708EF769" w:rsidR="00BD15B5" w:rsidRPr="003959F9" w:rsidRDefault="00BD15B5" w:rsidP="00BD15B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OTHER TASKS</w:t>
            </w:r>
          </w:p>
        </w:tc>
      </w:tr>
      <w:tr w:rsidR="00BD15B5" w:rsidRPr="003959F9" w14:paraId="3B0C7256" w14:textId="77777777" w:rsidTr="000121DB">
        <w:tc>
          <w:tcPr>
            <w:tcW w:w="9535" w:type="dxa"/>
          </w:tcPr>
          <w:p w14:paraId="13E1B09D" w14:textId="75B6901C" w:rsidR="00BD15B5" w:rsidRPr="003959F9" w:rsidRDefault="00BD15B5" w:rsidP="00BD15B5">
            <w:pPr>
              <w:pStyle w:val="ListParagraph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Participate in staff </w:t>
            </w:r>
            <w:r w:rsidR="003959F9">
              <w:rPr>
                <w:rFonts w:ascii="Century Gothic" w:hAnsi="Century Gothic"/>
                <w:sz w:val="22"/>
                <w:szCs w:val="22"/>
                <w:lang w:val="en-US"/>
              </w:rPr>
              <w:t xml:space="preserve">and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other </w:t>
            </w:r>
            <w:r w:rsid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face-to-face and online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meetings, also contribute into the development of the organization.</w:t>
            </w:r>
          </w:p>
          <w:p w14:paraId="3191A24F" w14:textId="77C36E97" w:rsidR="00BD15B5" w:rsidRPr="003959F9" w:rsidRDefault="00BD15B5" w:rsidP="00BD15B5">
            <w:pPr>
              <w:pStyle w:val="ListParagraph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Fulfil other tasks not included into this job description, if required, by assignment of the Program Team Lead or the Executive Director.</w:t>
            </w:r>
          </w:p>
        </w:tc>
      </w:tr>
    </w:tbl>
    <w:p w14:paraId="47203DD5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650"/>
      </w:tblGrid>
      <w:tr w:rsidR="00581EAB" w:rsidRPr="003959F9" w14:paraId="48966484" w14:textId="77777777" w:rsidTr="000121DB">
        <w:tc>
          <w:tcPr>
            <w:tcW w:w="9715" w:type="dxa"/>
            <w:gridSpan w:val="2"/>
            <w:shd w:val="clear" w:color="auto" w:fill="BFBFBF" w:themeFill="background1" w:themeFillShade="BF"/>
          </w:tcPr>
          <w:p w14:paraId="3AF0F290" w14:textId="35528B2C" w:rsidR="00581EAB" w:rsidRPr="003959F9" w:rsidRDefault="00581EAB" w:rsidP="00C64CD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REQUIREMENTS FOR </w:t>
            </w:r>
            <w:r w:rsidR="00DE7929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THE </w:t>
            </w: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POSITION</w:t>
            </w:r>
          </w:p>
        </w:tc>
      </w:tr>
      <w:tr w:rsidR="00581EAB" w:rsidRPr="003959F9" w14:paraId="1ACC13B0" w14:textId="77777777" w:rsidTr="000121DB">
        <w:tc>
          <w:tcPr>
            <w:tcW w:w="2065" w:type="dxa"/>
          </w:tcPr>
          <w:p w14:paraId="4C9AEC80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General requirements</w:t>
            </w:r>
          </w:p>
          <w:p w14:paraId="6E6FCE74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7650" w:type="dxa"/>
          </w:tcPr>
          <w:p w14:paraId="07430A19" w14:textId="1F7690C4" w:rsidR="00BB64E8" w:rsidRPr="003959F9" w:rsidRDefault="00BB64E8" w:rsidP="00C64CD7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 strong commitment </w:t>
            </w:r>
            <w:r w:rsidR="000A6E3B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and experience in </w:t>
            </w:r>
            <w:r w:rsidR="0004499C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provision/management of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harm reduction</w:t>
            </w:r>
            <w:r w:rsidR="0004499C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services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, human rights, drug polic</w:t>
            </w:r>
            <w:r w:rsidR="00CA26BF" w:rsidRPr="003959F9">
              <w:rPr>
                <w:rFonts w:ascii="Century Gothic" w:hAnsi="Century Gothic"/>
                <w:sz w:val="22"/>
                <w:szCs w:val="22"/>
                <w:lang w:val="en-GB"/>
              </w:rPr>
              <w:t>y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civil society and community strengthening</w:t>
            </w:r>
            <w:r w:rsidR="0004499C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in EECA country/ies</w:t>
            </w:r>
            <w:r w:rsidR="004F1E28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(minimum of </w:t>
            </w:r>
            <w:r w:rsidR="003959F9" w:rsidRPr="003959F9">
              <w:rPr>
                <w:rFonts w:ascii="Century Gothic" w:hAnsi="Century Gothic"/>
                <w:sz w:val="22"/>
                <w:szCs w:val="22"/>
                <w:lang w:val="en-GB"/>
              </w:rPr>
              <w:t>3-year</w:t>
            </w:r>
            <w:r w:rsidR="004F1E28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experience in the field)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05A3946F" w14:textId="63254B4D" w:rsidR="00C64CD7" w:rsidRPr="003959F9" w:rsidRDefault="00581EAB" w:rsidP="00BB64E8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University degree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in management, </w:t>
            </w: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public health, public admi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nistration, </w:t>
            </w:r>
            <w:r w:rsidR="004F1E28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social </w:t>
            </w:r>
            <w:r w:rsidR="00513B8C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studies, 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communications or another relevant field.</w:t>
            </w:r>
          </w:p>
          <w:p w14:paraId="63F312F3" w14:textId="77777777" w:rsidR="00C64CD7" w:rsidRPr="003959F9" w:rsidRDefault="00C64CD7" w:rsidP="00C64CD7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Thorough understanding of project/program management techniques and methods, including budget development and monitoring.</w:t>
            </w:r>
          </w:p>
          <w:p w14:paraId="460695B9" w14:textId="73CF748B" w:rsidR="00C64CD7" w:rsidRPr="003959F9" w:rsidRDefault="00693AD5" w:rsidP="00C64CD7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Good</w:t>
            </w:r>
            <w:r w:rsidR="00581EAB"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 command of English and Russian both oral and written (kn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owledge of other languages is a plus).</w:t>
            </w:r>
          </w:p>
          <w:p w14:paraId="19E09556" w14:textId="77777777" w:rsidR="00C64CD7" w:rsidRPr="003959F9" w:rsidRDefault="00581EAB" w:rsidP="00C64CD7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Proficiency with </w:t>
            </w: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computers, means of tele</w:t>
            </w:r>
            <w:r w:rsidR="00C64CD7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communication and communication.</w:t>
            </w:r>
          </w:p>
          <w:p w14:paraId="48D4B8A0" w14:textId="341FE515" w:rsidR="00C64CD7" w:rsidRPr="003959F9" w:rsidRDefault="00581EAB" w:rsidP="00C64CD7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>Experience and comfort working with diverse communities (people</w:t>
            </w:r>
            <w:r w:rsidR="00C64CD7"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 xml:space="preserve"> who use drugs, </w:t>
            </w:r>
            <w:r w:rsidR="00513B8C"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 xml:space="preserve">sex workers, </w:t>
            </w:r>
            <w:r w:rsidR="00BB48EF"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>LGBTIQ+</w:t>
            </w:r>
            <w:r w:rsidR="00C64CD7"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BB48EF"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>people living with HIV</w:t>
            </w:r>
            <w:r w:rsidR="00C64CD7"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 xml:space="preserve"> etc.).</w:t>
            </w:r>
          </w:p>
          <w:p w14:paraId="5A809776" w14:textId="77777777" w:rsidR="00C64CD7" w:rsidRPr="003959F9" w:rsidRDefault="00581EAB" w:rsidP="00C64CD7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>Ability to listen and communicate effectively with people from d</w:t>
            </w:r>
            <w:r w:rsidR="00C64CD7" w:rsidRPr="003959F9">
              <w:rPr>
                <w:rFonts w:ascii="Century Gothic" w:hAnsi="Century Gothic" w:cs="Arial"/>
                <w:color w:val="000000"/>
                <w:sz w:val="22"/>
                <w:szCs w:val="22"/>
                <w:lang w:val="en-GB"/>
              </w:rPr>
              <w:t>iverse cultures and backgrounds.</w:t>
            </w:r>
          </w:p>
          <w:p w14:paraId="0B356764" w14:textId="7623E7CD" w:rsidR="00581EAB" w:rsidRPr="003959F9" w:rsidRDefault="00581EAB" w:rsidP="00C64CD7">
            <w:pPr>
              <w:pStyle w:val="BodyText"/>
              <w:numPr>
                <w:ilvl w:val="1"/>
                <w:numId w:val="26"/>
              </w:numPr>
              <w:spacing w:line="240" w:lineRule="auto"/>
              <w:ind w:right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Ability to travel abroad for work, occasionally involving weekends and holidays.</w:t>
            </w:r>
          </w:p>
        </w:tc>
      </w:tr>
      <w:tr w:rsidR="00581EAB" w:rsidRPr="003959F9" w14:paraId="2CA52E6E" w14:textId="77777777" w:rsidTr="000121DB">
        <w:tc>
          <w:tcPr>
            <w:tcW w:w="2065" w:type="dxa"/>
          </w:tcPr>
          <w:p w14:paraId="221C0ECC" w14:textId="0ABBCD61" w:rsidR="00581EAB" w:rsidRPr="003959F9" w:rsidRDefault="00E03E0C" w:rsidP="00882D56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Competences model</w:t>
            </w:r>
            <w:r w:rsidR="00581EAB"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 </w:t>
            </w:r>
          </w:p>
          <w:p w14:paraId="29706301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5792EE5C" w14:textId="77777777" w:rsidR="00581EAB" w:rsidRPr="003959F9" w:rsidRDefault="00581EAB" w:rsidP="00882D56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7650" w:type="dxa"/>
          </w:tcPr>
          <w:p w14:paraId="148770C5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Strategic thinking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019CBCA9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Problem solving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4D159071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Delegation and supervision of staff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77EDEEEE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Written and spoken communication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24FE581B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lastRenderedPageBreak/>
              <w:t>Debating in larger groups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21F2FADA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Presentation skills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77820D22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Making influence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280377EC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Organized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1EA5DB96" w14:textId="77777777" w:rsidR="00C64CD7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Result focused</w:t>
            </w:r>
            <w:r w:rsidR="00C64CD7" w:rsidRPr="003959F9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14:paraId="29C60471" w14:textId="2C74F9F4" w:rsidR="00581EAB" w:rsidRPr="003959F9" w:rsidRDefault="00581EAB" w:rsidP="00C64CD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sz w:val="22"/>
                <w:szCs w:val="22"/>
                <w:lang w:val="en-GB"/>
              </w:rPr>
              <w:t>Initiative</w:t>
            </w:r>
          </w:p>
        </w:tc>
      </w:tr>
    </w:tbl>
    <w:p w14:paraId="1E579874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581EAB" w:rsidRPr="003959F9" w14:paraId="56F700FA" w14:textId="77777777" w:rsidTr="000121DB">
        <w:tc>
          <w:tcPr>
            <w:tcW w:w="9715" w:type="dxa"/>
            <w:shd w:val="clear" w:color="auto" w:fill="BFBFBF" w:themeFill="background1" w:themeFillShade="BF"/>
          </w:tcPr>
          <w:p w14:paraId="21806D8A" w14:textId="654A28C2" w:rsidR="00581EAB" w:rsidRPr="003959F9" w:rsidRDefault="00581EAB" w:rsidP="005B5BA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LIABILITY</w:t>
            </w:r>
          </w:p>
        </w:tc>
      </w:tr>
      <w:tr w:rsidR="00581EAB" w:rsidRPr="003959F9" w14:paraId="2A7E8776" w14:textId="77777777" w:rsidTr="000121DB">
        <w:tc>
          <w:tcPr>
            <w:tcW w:w="9715" w:type="dxa"/>
          </w:tcPr>
          <w:p w14:paraId="3F485016" w14:textId="351A66DC" w:rsidR="005B5BA7" w:rsidRPr="000121DB" w:rsidRDefault="00160FAD" w:rsidP="000121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Senior Program Officer </w:t>
            </w:r>
            <w:r w:rsidR="00581EAB"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works in accordance with:</w:t>
            </w:r>
          </w:p>
          <w:p w14:paraId="3630E9A6" w14:textId="48D4588C" w:rsidR="005B5BA7" w:rsidRPr="003959F9" w:rsidRDefault="00581EAB" w:rsidP="000121DB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Articles of Association of the </w:t>
            </w:r>
            <w:r w:rsidR="005746A2"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organization</w:t>
            </w:r>
            <w:r w:rsidRPr="003959F9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;</w:t>
            </w:r>
          </w:p>
          <w:p w14:paraId="09A2C70F" w14:textId="2D930568" w:rsidR="005B5BA7" w:rsidRPr="000121DB" w:rsidRDefault="00E074AE" w:rsidP="000121DB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Operational Procedures, including Personnel Policy, Harassment Policy, Anti-fraud Policy, Data Security Policy</w:t>
            </w:r>
            <w:r w:rsidR="007D4B94"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,</w:t>
            </w:r>
            <w:r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 </w:t>
            </w:r>
            <w:r w:rsidR="00581EAB"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Accounting policy </w:t>
            </w:r>
            <w:r w:rsidR="007D4B94"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 xml:space="preserve">and other internal rules of the </w:t>
            </w:r>
            <w:r w:rsidR="005746A2"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organization</w:t>
            </w:r>
            <w:r w:rsidR="00581EAB"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;</w:t>
            </w:r>
          </w:p>
          <w:p w14:paraId="30F20A65" w14:textId="77777777" w:rsidR="005B5BA7" w:rsidRPr="000121DB" w:rsidRDefault="00581EAB" w:rsidP="000121DB">
            <w:pPr>
              <w:pStyle w:val="ListParagraph"/>
              <w:numPr>
                <w:ilvl w:val="1"/>
                <w:numId w:val="18"/>
              </w:numPr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  <w:r w:rsidRPr="000121DB">
              <w:rPr>
                <w:rFonts w:ascii="Century Gothic" w:hAnsi="Century Gothic" w:cs="Times New Roman CYR"/>
                <w:sz w:val="22"/>
                <w:szCs w:val="22"/>
                <w:lang w:val="en-GB"/>
              </w:rPr>
              <w:t>This job description.</w:t>
            </w:r>
          </w:p>
          <w:p w14:paraId="0C2CB73E" w14:textId="54F33C95" w:rsidR="00581EAB" w:rsidRPr="003959F9" w:rsidRDefault="00581EAB" w:rsidP="000121D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990"/>
              <w:jc w:val="both"/>
              <w:rPr>
                <w:rFonts w:ascii="Century Gothic" w:hAnsi="Century Gothic" w:cs="Times New Roman CYR"/>
                <w:sz w:val="22"/>
                <w:szCs w:val="22"/>
                <w:lang w:val="en-GB"/>
              </w:rPr>
            </w:pPr>
          </w:p>
        </w:tc>
      </w:tr>
    </w:tbl>
    <w:p w14:paraId="531F8DB6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7C8C62C5" w14:textId="209F0CBA" w:rsidR="001F2F71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3959F9">
        <w:rPr>
          <w:rFonts w:ascii="Century Gothic" w:hAnsi="Century Gothic"/>
          <w:sz w:val="22"/>
          <w:szCs w:val="22"/>
          <w:lang w:val="en-GB"/>
        </w:rPr>
        <w:t xml:space="preserve">Confirmed by </w:t>
      </w:r>
      <w:r w:rsidR="00C365A6" w:rsidRPr="003959F9">
        <w:rPr>
          <w:rFonts w:ascii="Century Gothic" w:hAnsi="Century Gothic"/>
          <w:sz w:val="22"/>
          <w:szCs w:val="22"/>
          <w:lang w:val="en-GB"/>
        </w:rPr>
        <w:t xml:space="preserve">the </w:t>
      </w:r>
      <w:r w:rsidRPr="003959F9">
        <w:rPr>
          <w:rFonts w:ascii="Century Gothic" w:hAnsi="Century Gothic"/>
          <w:sz w:val="22"/>
          <w:szCs w:val="22"/>
          <w:lang w:val="en-GB"/>
        </w:rPr>
        <w:t>Executive Director</w:t>
      </w:r>
    </w:p>
    <w:p w14:paraId="115F2298" w14:textId="77777777" w:rsidR="00E011B1" w:rsidRPr="003959F9" w:rsidRDefault="00E011B1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30B60FBC" w14:textId="77777777" w:rsidR="001F2F71" w:rsidRPr="003959F9" w:rsidRDefault="001F2F71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538675FD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3959F9">
        <w:rPr>
          <w:rFonts w:ascii="Century Gothic" w:hAnsi="Century Gothic"/>
          <w:sz w:val="22"/>
          <w:szCs w:val="22"/>
          <w:lang w:val="en-GB"/>
        </w:rPr>
        <w:t xml:space="preserve"> …………………………………………….……………...</w:t>
      </w:r>
      <w:r w:rsidR="001F2F71" w:rsidRPr="003959F9">
        <w:rPr>
          <w:rFonts w:ascii="Century Gothic" w:hAnsi="Century Gothic"/>
          <w:sz w:val="22"/>
          <w:szCs w:val="22"/>
          <w:lang w:val="en-GB"/>
        </w:rPr>
        <w:t>.......................................................</w:t>
      </w:r>
    </w:p>
    <w:p w14:paraId="68694AD1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3959F9">
        <w:rPr>
          <w:rFonts w:ascii="Century Gothic" w:hAnsi="Century Gothic"/>
          <w:sz w:val="22"/>
          <w:szCs w:val="22"/>
          <w:lang w:val="en-GB"/>
        </w:rPr>
        <w:t>(signature, date)</w:t>
      </w:r>
    </w:p>
    <w:p w14:paraId="2A6820F3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5356F3C6" w14:textId="6E058849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3959F9">
        <w:rPr>
          <w:rFonts w:ascii="Century Gothic" w:hAnsi="Century Gothic"/>
          <w:sz w:val="22"/>
          <w:szCs w:val="22"/>
          <w:lang w:val="en-GB"/>
        </w:rPr>
        <w:t xml:space="preserve">Familiarized and agree with </w:t>
      </w:r>
      <w:r w:rsidR="008A20B0" w:rsidRPr="003959F9">
        <w:rPr>
          <w:rFonts w:ascii="Century Gothic" w:hAnsi="Century Gothic"/>
          <w:sz w:val="22"/>
          <w:szCs w:val="22"/>
          <w:lang w:val="en-GB"/>
        </w:rPr>
        <w:t xml:space="preserve">the </w:t>
      </w:r>
      <w:r w:rsidRPr="003959F9">
        <w:rPr>
          <w:rFonts w:ascii="Century Gothic" w:hAnsi="Century Gothic"/>
          <w:sz w:val="22"/>
          <w:szCs w:val="22"/>
          <w:lang w:val="en-GB"/>
        </w:rPr>
        <w:t>Job description:</w:t>
      </w:r>
    </w:p>
    <w:p w14:paraId="79937B17" w14:textId="77777777" w:rsidR="00E011B1" w:rsidRPr="003959F9" w:rsidRDefault="00E011B1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382BA60C" w14:textId="77777777" w:rsidR="00581EAB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3959F9">
        <w:rPr>
          <w:rFonts w:ascii="Century Gothic" w:hAnsi="Century Gothic"/>
          <w:sz w:val="22"/>
          <w:szCs w:val="22"/>
          <w:lang w:val="en-GB"/>
        </w:rPr>
        <w:t>…………………………………………………………………………………………………</w:t>
      </w:r>
    </w:p>
    <w:p w14:paraId="4A0C1821" w14:textId="5A16D521" w:rsidR="000C7CDA" w:rsidRPr="003959F9" w:rsidRDefault="00581EAB" w:rsidP="00882D5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3959F9">
        <w:rPr>
          <w:rFonts w:ascii="Century Gothic" w:hAnsi="Century Gothic"/>
          <w:sz w:val="22"/>
          <w:szCs w:val="22"/>
          <w:lang w:val="en-GB"/>
        </w:rPr>
        <w:t>(name, surname, signature, date)</w:t>
      </w:r>
    </w:p>
    <w:sectPr w:rsidR="000C7CDA" w:rsidRPr="003959F9" w:rsidSect="00521BCE">
      <w:footerReference w:type="even" r:id="rId10"/>
      <w:footerReference w:type="default" r:id="rId11"/>
      <w:pgSz w:w="11906" w:h="16838" w:code="9"/>
      <w:pgMar w:top="1138" w:right="965" w:bottom="1138" w:left="1440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9BC4" w14:textId="77777777" w:rsidR="00427F51" w:rsidRDefault="00427F51">
      <w:r>
        <w:separator/>
      </w:r>
    </w:p>
  </w:endnote>
  <w:endnote w:type="continuationSeparator" w:id="0">
    <w:p w14:paraId="6DBFBA6B" w14:textId="77777777" w:rsidR="00427F51" w:rsidRDefault="004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3E3" w14:textId="77777777" w:rsidR="00981A04" w:rsidRDefault="00981A04" w:rsidP="00981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4FDB2" w14:textId="77777777" w:rsidR="00981A04" w:rsidRDefault="00981A04" w:rsidP="00981A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0E0" w14:textId="321DBCB8" w:rsidR="00981A04" w:rsidRDefault="00981A04" w:rsidP="00981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4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80CD6" w14:textId="77777777" w:rsidR="00981A04" w:rsidRDefault="00981A04" w:rsidP="00981A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B1C3" w14:textId="77777777" w:rsidR="00427F51" w:rsidRDefault="00427F51">
      <w:r>
        <w:separator/>
      </w:r>
    </w:p>
  </w:footnote>
  <w:footnote w:type="continuationSeparator" w:id="0">
    <w:p w14:paraId="38BB055F" w14:textId="77777777" w:rsidR="00427F51" w:rsidRDefault="0042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E37"/>
    <w:multiLevelType w:val="hybridMultilevel"/>
    <w:tmpl w:val="7DD26788"/>
    <w:lvl w:ilvl="0" w:tplc="49781718">
      <w:start w:val="1"/>
      <w:numFmt w:val="decimal"/>
      <w:lvlText w:val="%1."/>
      <w:lvlJc w:val="left"/>
      <w:pPr>
        <w:ind w:left="2487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93F70D1"/>
    <w:multiLevelType w:val="hybridMultilevel"/>
    <w:tmpl w:val="A6020DB6"/>
    <w:lvl w:ilvl="0" w:tplc="7DE2A8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F0428"/>
    <w:multiLevelType w:val="hybridMultilevel"/>
    <w:tmpl w:val="0BDEAA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E3919"/>
    <w:multiLevelType w:val="hybridMultilevel"/>
    <w:tmpl w:val="4354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A3984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2D48C3"/>
    <w:multiLevelType w:val="hybridMultilevel"/>
    <w:tmpl w:val="3F2E417C"/>
    <w:lvl w:ilvl="0" w:tplc="78CE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2819BD"/>
    <w:multiLevelType w:val="hybridMultilevel"/>
    <w:tmpl w:val="17185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35471"/>
    <w:multiLevelType w:val="hybridMultilevel"/>
    <w:tmpl w:val="973C75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711D"/>
    <w:multiLevelType w:val="multilevel"/>
    <w:tmpl w:val="D452E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913861"/>
    <w:multiLevelType w:val="hybridMultilevel"/>
    <w:tmpl w:val="CFA698F0"/>
    <w:lvl w:ilvl="0" w:tplc="8D3E2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041EB"/>
    <w:multiLevelType w:val="multilevel"/>
    <w:tmpl w:val="0DC6C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D14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620472"/>
    <w:multiLevelType w:val="multilevel"/>
    <w:tmpl w:val="D452E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8B38B9"/>
    <w:multiLevelType w:val="multilevel"/>
    <w:tmpl w:val="C1AC7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C440F3"/>
    <w:multiLevelType w:val="multilevel"/>
    <w:tmpl w:val="E9142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7064B3"/>
    <w:multiLevelType w:val="multilevel"/>
    <w:tmpl w:val="CFA69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A0BC0"/>
    <w:multiLevelType w:val="multilevel"/>
    <w:tmpl w:val="BBF8C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0F1595B"/>
    <w:multiLevelType w:val="hybridMultilevel"/>
    <w:tmpl w:val="D2C68266"/>
    <w:lvl w:ilvl="0" w:tplc="D1067250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2B83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C351BC"/>
    <w:multiLevelType w:val="hybridMultilevel"/>
    <w:tmpl w:val="BA78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C48FA"/>
    <w:multiLevelType w:val="multilevel"/>
    <w:tmpl w:val="D452E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8C5C8D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B857F4F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7F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8A2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A9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9234D"/>
    <w:multiLevelType w:val="hybridMultilevel"/>
    <w:tmpl w:val="D79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7F4"/>
    <w:multiLevelType w:val="hybridMultilevel"/>
    <w:tmpl w:val="2FC287E8"/>
    <w:lvl w:ilvl="0" w:tplc="95CC42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71672"/>
    <w:multiLevelType w:val="hybridMultilevel"/>
    <w:tmpl w:val="71181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D459E"/>
    <w:multiLevelType w:val="multilevel"/>
    <w:tmpl w:val="E17CD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78C3B22"/>
    <w:multiLevelType w:val="multilevel"/>
    <w:tmpl w:val="D452E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B0C6F53"/>
    <w:multiLevelType w:val="multilevel"/>
    <w:tmpl w:val="4B546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996BBB"/>
    <w:multiLevelType w:val="multilevel"/>
    <w:tmpl w:val="74766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774539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CD2C86"/>
    <w:multiLevelType w:val="hybridMultilevel"/>
    <w:tmpl w:val="9886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E0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28"/>
  </w:num>
  <w:num w:numId="10">
    <w:abstractNumId w:val="7"/>
  </w:num>
  <w:num w:numId="11">
    <w:abstractNumId w:val="11"/>
  </w:num>
  <w:num w:numId="12">
    <w:abstractNumId w:val="34"/>
  </w:num>
  <w:num w:numId="13">
    <w:abstractNumId w:val="17"/>
  </w:num>
  <w:num w:numId="14">
    <w:abstractNumId w:val="26"/>
  </w:num>
  <w:num w:numId="15">
    <w:abstractNumId w:val="6"/>
  </w:num>
  <w:num w:numId="16">
    <w:abstractNumId w:val="3"/>
  </w:num>
  <w:num w:numId="17">
    <w:abstractNumId w:val="27"/>
  </w:num>
  <w:num w:numId="18">
    <w:abstractNumId w:val="23"/>
  </w:num>
  <w:num w:numId="19">
    <w:abstractNumId w:val="32"/>
  </w:num>
  <w:num w:numId="20">
    <w:abstractNumId w:val="13"/>
  </w:num>
  <w:num w:numId="21">
    <w:abstractNumId w:val="35"/>
  </w:num>
  <w:num w:numId="22">
    <w:abstractNumId w:val="33"/>
  </w:num>
  <w:num w:numId="23">
    <w:abstractNumId w:val="18"/>
  </w:num>
  <w:num w:numId="24">
    <w:abstractNumId w:val="22"/>
  </w:num>
  <w:num w:numId="25">
    <w:abstractNumId w:val="12"/>
  </w:num>
  <w:num w:numId="26">
    <w:abstractNumId w:val="8"/>
  </w:num>
  <w:num w:numId="27">
    <w:abstractNumId w:val="4"/>
  </w:num>
  <w:num w:numId="28">
    <w:abstractNumId w:val="21"/>
  </w:num>
  <w:num w:numId="29">
    <w:abstractNumId w:val="30"/>
  </w:num>
  <w:num w:numId="30">
    <w:abstractNumId w:val="20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B"/>
    <w:rsid w:val="00001C21"/>
    <w:rsid w:val="00004A1A"/>
    <w:rsid w:val="000115DF"/>
    <w:rsid w:val="000121DB"/>
    <w:rsid w:val="00024949"/>
    <w:rsid w:val="00030972"/>
    <w:rsid w:val="00036B9D"/>
    <w:rsid w:val="0004499C"/>
    <w:rsid w:val="000505CD"/>
    <w:rsid w:val="00062123"/>
    <w:rsid w:val="00062972"/>
    <w:rsid w:val="0006621D"/>
    <w:rsid w:val="0007283C"/>
    <w:rsid w:val="000832C3"/>
    <w:rsid w:val="000846C1"/>
    <w:rsid w:val="00095BBE"/>
    <w:rsid w:val="000A2B7C"/>
    <w:rsid w:val="000A6E3B"/>
    <w:rsid w:val="000C1EA7"/>
    <w:rsid w:val="000C6E40"/>
    <w:rsid w:val="000C7CDA"/>
    <w:rsid w:val="000D53DB"/>
    <w:rsid w:val="000F67E0"/>
    <w:rsid w:val="00105E75"/>
    <w:rsid w:val="00113A4B"/>
    <w:rsid w:val="001220D2"/>
    <w:rsid w:val="00156614"/>
    <w:rsid w:val="00157FDB"/>
    <w:rsid w:val="00160FAD"/>
    <w:rsid w:val="00163BE7"/>
    <w:rsid w:val="001851B1"/>
    <w:rsid w:val="0019088F"/>
    <w:rsid w:val="001972EE"/>
    <w:rsid w:val="001B4842"/>
    <w:rsid w:val="001C4B23"/>
    <w:rsid w:val="001F2F71"/>
    <w:rsid w:val="001F336A"/>
    <w:rsid w:val="001F3761"/>
    <w:rsid w:val="002046CA"/>
    <w:rsid w:val="002208C8"/>
    <w:rsid w:val="0023471C"/>
    <w:rsid w:val="00246E8D"/>
    <w:rsid w:val="00252C85"/>
    <w:rsid w:val="00280538"/>
    <w:rsid w:val="00296282"/>
    <w:rsid w:val="00297617"/>
    <w:rsid w:val="002B0074"/>
    <w:rsid w:val="002B2341"/>
    <w:rsid w:val="003014D7"/>
    <w:rsid w:val="00301603"/>
    <w:rsid w:val="00302C72"/>
    <w:rsid w:val="00304ADC"/>
    <w:rsid w:val="003151CA"/>
    <w:rsid w:val="00344DBC"/>
    <w:rsid w:val="0035576E"/>
    <w:rsid w:val="00363470"/>
    <w:rsid w:val="00377D23"/>
    <w:rsid w:val="00385453"/>
    <w:rsid w:val="00386B6A"/>
    <w:rsid w:val="003932FE"/>
    <w:rsid w:val="003959F9"/>
    <w:rsid w:val="003960B0"/>
    <w:rsid w:val="003A4C69"/>
    <w:rsid w:val="003A57BE"/>
    <w:rsid w:val="003C262F"/>
    <w:rsid w:val="003C41AA"/>
    <w:rsid w:val="003F32A6"/>
    <w:rsid w:val="00410649"/>
    <w:rsid w:val="00411A1A"/>
    <w:rsid w:val="00415BDE"/>
    <w:rsid w:val="0042794C"/>
    <w:rsid w:val="00427F51"/>
    <w:rsid w:val="00431601"/>
    <w:rsid w:val="00433D03"/>
    <w:rsid w:val="00442ABB"/>
    <w:rsid w:val="0045207C"/>
    <w:rsid w:val="00453350"/>
    <w:rsid w:val="004A3030"/>
    <w:rsid w:val="004B482C"/>
    <w:rsid w:val="004D22A6"/>
    <w:rsid w:val="004E0F9A"/>
    <w:rsid w:val="004F1E28"/>
    <w:rsid w:val="00503612"/>
    <w:rsid w:val="00505068"/>
    <w:rsid w:val="0051059E"/>
    <w:rsid w:val="00513B8C"/>
    <w:rsid w:val="00516FD7"/>
    <w:rsid w:val="00521BCE"/>
    <w:rsid w:val="0053408A"/>
    <w:rsid w:val="00541541"/>
    <w:rsid w:val="00553E41"/>
    <w:rsid w:val="005746A2"/>
    <w:rsid w:val="00581EAB"/>
    <w:rsid w:val="005851AF"/>
    <w:rsid w:val="00595775"/>
    <w:rsid w:val="0059738C"/>
    <w:rsid w:val="005A2070"/>
    <w:rsid w:val="005A33AB"/>
    <w:rsid w:val="005A45F7"/>
    <w:rsid w:val="005A6AD6"/>
    <w:rsid w:val="005B1445"/>
    <w:rsid w:val="005B411A"/>
    <w:rsid w:val="005B5BA7"/>
    <w:rsid w:val="005D4B7B"/>
    <w:rsid w:val="00605C77"/>
    <w:rsid w:val="006368EA"/>
    <w:rsid w:val="00671D8A"/>
    <w:rsid w:val="00676EC4"/>
    <w:rsid w:val="0069347B"/>
    <w:rsid w:val="00693AD5"/>
    <w:rsid w:val="0069728D"/>
    <w:rsid w:val="006A02CB"/>
    <w:rsid w:val="006A15EE"/>
    <w:rsid w:val="006B428A"/>
    <w:rsid w:val="006B6721"/>
    <w:rsid w:val="006D4945"/>
    <w:rsid w:val="006F4992"/>
    <w:rsid w:val="00726087"/>
    <w:rsid w:val="0075014D"/>
    <w:rsid w:val="00755279"/>
    <w:rsid w:val="00777BB8"/>
    <w:rsid w:val="007B093C"/>
    <w:rsid w:val="007B49D0"/>
    <w:rsid w:val="007C4B91"/>
    <w:rsid w:val="007D4B94"/>
    <w:rsid w:val="00805ED6"/>
    <w:rsid w:val="00807ECB"/>
    <w:rsid w:val="00832658"/>
    <w:rsid w:val="008363D6"/>
    <w:rsid w:val="008759AF"/>
    <w:rsid w:val="00882D56"/>
    <w:rsid w:val="00884C4E"/>
    <w:rsid w:val="008A20B0"/>
    <w:rsid w:val="008A2FFA"/>
    <w:rsid w:val="008B15C6"/>
    <w:rsid w:val="008C3157"/>
    <w:rsid w:val="008D7CAA"/>
    <w:rsid w:val="008F05E0"/>
    <w:rsid w:val="008F22F4"/>
    <w:rsid w:val="00902D27"/>
    <w:rsid w:val="0091349C"/>
    <w:rsid w:val="0093054D"/>
    <w:rsid w:val="00934C71"/>
    <w:rsid w:val="00936AC6"/>
    <w:rsid w:val="0095574B"/>
    <w:rsid w:val="0097276C"/>
    <w:rsid w:val="00981A04"/>
    <w:rsid w:val="00983612"/>
    <w:rsid w:val="00993DCE"/>
    <w:rsid w:val="009A7FA0"/>
    <w:rsid w:val="009B6431"/>
    <w:rsid w:val="009E2282"/>
    <w:rsid w:val="009E6164"/>
    <w:rsid w:val="009F608A"/>
    <w:rsid w:val="00A00E00"/>
    <w:rsid w:val="00A06FA8"/>
    <w:rsid w:val="00A07B14"/>
    <w:rsid w:val="00A25B64"/>
    <w:rsid w:val="00A40FED"/>
    <w:rsid w:val="00A534C6"/>
    <w:rsid w:val="00A71D60"/>
    <w:rsid w:val="00A863BA"/>
    <w:rsid w:val="00A954FD"/>
    <w:rsid w:val="00A97934"/>
    <w:rsid w:val="00AD2A25"/>
    <w:rsid w:val="00AD3852"/>
    <w:rsid w:val="00AF50EE"/>
    <w:rsid w:val="00AF58C7"/>
    <w:rsid w:val="00B01500"/>
    <w:rsid w:val="00B01581"/>
    <w:rsid w:val="00B01785"/>
    <w:rsid w:val="00B36F20"/>
    <w:rsid w:val="00B4288A"/>
    <w:rsid w:val="00B5770D"/>
    <w:rsid w:val="00B67D4B"/>
    <w:rsid w:val="00B70A27"/>
    <w:rsid w:val="00B96CDF"/>
    <w:rsid w:val="00BB48EF"/>
    <w:rsid w:val="00BB64E8"/>
    <w:rsid w:val="00BC29E3"/>
    <w:rsid w:val="00BC54DA"/>
    <w:rsid w:val="00BD15B5"/>
    <w:rsid w:val="00BF537D"/>
    <w:rsid w:val="00BF71BE"/>
    <w:rsid w:val="00C365A6"/>
    <w:rsid w:val="00C366D0"/>
    <w:rsid w:val="00C45B44"/>
    <w:rsid w:val="00C5090D"/>
    <w:rsid w:val="00C64CD7"/>
    <w:rsid w:val="00C64FD4"/>
    <w:rsid w:val="00C72848"/>
    <w:rsid w:val="00C91EBB"/>
    <w:rsid w:val="00CA04D0"/>
    <w:rsid w:val="00CA26BF"/>
    <w:rsid w:val="00CA2E28"/>
    <w:rsid w:val="00CA7258"/>
    <w:rsid w:val="00CB5DE7"/>
    <w:rsid w:val="00CC276D"/>
    <w:rsid w:val="00CC5EEC"/>
    <w:rsid w:val="00CE1B27"/>
    <w:rsid w:val="00CE2A6C"/>
    <w:rsid w:val="00CE6EE4"/>
    <w:rsid w:val="00CF3880"/>
    <w:rsid w:val="00D0478A"/>
    <w:rsid w:val="00D10C34"/>
    <w:rsid w:val="00D216DE"/>
    <w:rsid w:val="00D336F9"/>
    <w:rsid w:val="00D546FA"/>
    <w:rsid w:val="00D6129B"/>
    <w:rsid w:val="00D62B28"/>
    <w:rsid w:val="00D81D58"/>
    <w:rsid w:val="00D830DD"/>
    <w:rsid w:val="00D93D82"/>
    <w:rsid w:val="00D93DE6"/>
    <w:rsid w:val="00D95CD1"/>
    <w:rsid w:val="00DC0B2C"/>
    <w:rsid w:val="00DE3AB4"/>
    <w:rsid w:val="00DE7929"/>
    <w:rsid w:val="00DF1B7E"/>
    <w:rsid w:val="00E011B1"/>
    <w:rsid w:val="00E0151C"/>
    <w:rsid w:val="00E03E0C"/>
    <w:rsid w:val="00E06889"/>
    <w:rsid w:val="00E074AE"/>
    <w:rsid w:val="00E101F7"/>
    <w:rsid w:val="00E21543"/>
    <w:rsid w:val="00E24DD4"/>
    <w:rsid w:val="00E32E66"/>
    <w:rsid w:val="00E34D7F"/>
    <w:rsid w:val="00E35BB2"/>
    <w:rsid w:val="00E35EF9"/>
    <w:rsid w:val="00E45ECF"/>
    <w:rsid w:val="00E51EAA"/>
    <w:rsid w:val="00E52B62"/>
    <w:rsid w:val="00E557A5"/>
    <w:rsid w:val="00E60DB6"/>
    <w:rsid w:val="00E62E3F"/>
    <w:rsid w:val="00E62E9B"/>
    <w:rsid w:val="00E91D88"/>
    <w:rsid w:val="00E9341C"/>
    <w:rsid w:val="00E95D5C"/>
    <w:rsid w:val="00EA00B4"/>
    <w:rsid w:val="00ED020E"/>
    <w:rsid w:val="00ED38AA"/>
    <w:rsid w:val="00EE533B"/>
    <w:rsid w:val="00F06891"/>
    <w:rsid w:val="00F17964"/>
    <w:rsid w:val="00F216FD"/>
    <w:rsid w:val="00F4335A"/>
    <w:rsid w:val="00F44D01"/>
    <w:rsid w:val="00F46F3E"/>
    <w:rsid w:val="00F5288C"/>
    <w:rsid w:val="00F57F3B"/>
    <w:rsid w:val="00F7460C"/>
    <w:rsid w:val="00F76848"/>
    <w:rsid w:val="00F8064E"/>
    <w:rsid w:val="00F95055"/>
    <w:rsid w:val="00F97869"/>
    <w:rsid w:val="00FA0351"/>
    <w:rsid w:val="00FA722B"/>
    <w:rsid w:val="00FB3C2A"/>
    <w:rsid w:val="00FB4CF0"/>
    <w:rsid w:val="00FB7C0E"/>
    <w:rsid w:val="00FC5B07"/>
    <w:rsid w:val="00FD306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CC5EE"/>
  <w15:docId w15:val="{D2A21D99-EF38-4ECE-98E7-35064B9D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1EAB"/>
    <w:pPr>
      <w:spacing w:line="533" w:lineRule="auto"/>
      <w:ind w:left="840" w:right="-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81E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81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1EA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581EAB"/>
  </w:style>
  <w:style w:type="paragraph" w:styleId="BalloonText">
    <w:name w:val="Balloon Text"/>
    <w:basedOn w:val="Normal"/>
    <w:link w:val="BalloonTextChar"/>
    <w:uiPriority w:val="99"/>
    <w:semiHidden/>
    <w:unhideWhenUsed/>
    <w:rsid w:val="0058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AB"/>
    <w:rPr>
      <w:rFonts w:ascii="Tahoma" w:eastAsia="Times New Roman" w:hAnsi="Tahoma" w:cs="Tahoma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34"/>
    <w:qFormat/>
    <w:rsid w:val="00FB4CF0"/>
    <w:pPr>
      <w:ind w:left="720"/>
      <w:contextualSpacing/>
    </w:pPr>
  </w:style>
  <w:style w:type="paragraph" w:styleId="Revision">
    <w:name w:val="Revision"/>
    <w:hidden/>
    <w:uiPriority w:val="99"/>
    <w:semiHidden/>
    <w:rsid w:val="00A0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671D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D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6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C69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rmreductioneurasia.org/wp-content/uploads/2020/05/EHRA-Strategy-2020-2024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0F3E-FF43-487A-A4F0-76B6C795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Minkeviciene</dc:creator>
  <cp:keywords/>
  <dc:description/>
  <cp:lastModifiedBy>Igor Gordon</cp:lastModifiedBy>
  <cp:revision>4</cp:revision>
  <cp:lastPrinted>2018-01-22T13:08:00Z</cp:lastPrinted>
  <dcterms:created xsi:type="dcterms:W3CDTF">2021-10-13T13:28:00Z</dcterms:created>
  <dcterms:modified xsi:type="dcterms:W3CDTF">2021-10-13T13:32:00Z</dcterms:modified>
</cp:coreProperties>
</file>